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13E" w:rsidRDefault="002B513E" w:rsidP="002B513E">
      <w:pPr>
        <w:pStyle w:val="a3"/>
        <w:keepNext/>
        <w:rPr>
          <w:rFonts w:ascii="Times New Roman" w:hAnsi="Times New Roman" w:cs="Times New Roman"/>
          <w:sz w:val="28"/>
          <w:szCs w:val="28"/>
        </w:rPr>
      </w:pPr>
      <w:r w:rsidRPr="008D7955">
        <w:rPr>
          <w:rFonts w:ascii="Times New Roman" w:hAnsi="Times New Roman" w:cs="Times New Roman"/>
          <w:b/>
          <w:sz w:val="28"/>
          <w:szCs w:val="28"/>
        </w:rPr>
        <w:t xml:space="preserve">Table </w:t>
      </w:r>
      <w:r w:rsidRPr="008D7955">
        <w:rPr>
          <w:rFonts w:ascii="Times New Roman" w:hAnsi="Times New Roman" w:cs="Times New Roman"/>
          <w:b/>
          <w:sz w:val="28"/>
          <w:szCs w:val="28"/>
        </w:rPr>
        <w:fldChar w:fldCharType="begin"/>
      </w:r>
      <w:r w:rsidRPr="008D7955">
        <w:rPr>
          <w:rFonts w:ascii="Times New Roman" w:hAnsi="Times New Roman" w:cs="Times New Roman"/>
          <w:b/>
          <w:sz w:val="28"/>
          <w:szCs w:val="28"/>
        </w:rPr>
        <w:instrText xml:space="preserve"> SEQ Table \* ARABIC </w:instrText>
      </w:r>
      <w:r w:rsidRPr="008D7955">
        <w:rPr>
          <w:rFonts w:ascii="Times New Roman" w:hAnsi="Times New Roman" w:cs="Times New Roman"/>
          <w:b/>
          <w:sz w:val="28"/>
          <w:szCs w:val="28"/>
        </w:rPr>
        <w:fldChar w:fldCharType="separate"/>
      </w:r>
      <w:r w:rsidRPr="008D7955">
        <w:rPr>
          <w:rFonts w:ascii="Times New Roman" w:hAnsi="Times New Roman" w:cs="Times New Roman"/>
          <w:b/>
          <w:sz w:val="28"/>
          <w:szCs w:val="28"/>
        </w:rPr>
        <w:t>2</w:t>
      </w:r>
      <w:r w:rsidRPr="008D7955">
        <w:rPr>
          <w:rFonts w:ascii="Times New Roman" w:hAnsi="Times New Roman" w:cs="Times New Roman"/>
          <w:b/>
          <w:sz w:val="28"/>
          <w:szCs w:val="28"/>
        </w:rPr>
        <w:fldChar w:fldCharType="end"/>
      </w:r>
      <w:r w:rsidRPr="008D7955">
        <w:rPr>
          <w:rFonts w:ascii="Times New Roman" w:hAnsi="Times New Roman" w:cs="Times New Roman"/>
          <w:sz w:val="28"/>
          <w:szCs w:val="28"/>
        </w:rPr>
        <w:t xml:space="preserve"> Risk of bias of observational studies reporting on aortic diseases using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8D7955">
        <w:rPr>
          <w:rFonts w:ascii="Times New Roman" w:hAnsi="Times New Roman" w:cs="Times New Roman"/>
          <w:sz w:val="28"/>
          <w:szCs w:val="28"/>
        </w:rPr>
        <w:t>New</w:t>
      </w:r>
      <w:r>
        <w:rPr>
          <w:rFonts w:ascii="Times New Roman" w:hAnsi="Times New Roman" w:cs="Times New Roman"/>
          <w:sz w:val="28"/>
          <w:szCs w:val="28"/>
        </w:rPr>
        <w:t>c</w:t>
      </w:r>
      <w:r w:rsidRPr="008D7955">
        <w:rPr>
          <w:rFonts w:ascii="Times New Roman" w:hAnsi="Times New Roman" w:cs="Times New Roman"/>
          <w:sz w:val="28"/>
          <w:szCs w:val="28"/>
        </w:rPr>
        <w:t>astle Ottawa Scale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3"/>
        <w:gridCol w:w="3402"/>
        <w:gridCol w:w="8283"/>
      </w:tblGrid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Lee et al</w:t>
            </w:r>
            <w:r w:rsidRPr="00282485">
              <w:rPr>
                <w:rFonts w:hint="eastAsia"/>
                <w:color w:val="000000" w:themeColor="text1"/>
              </w:rPr>
              <w:t>.</w:t>
            </w:r>
            <w:r w:rsidRPr="00282485">
              <w:rPr>
                <w:color w:val="000000" w:themeColor="text1"/>
              </w:rPr>
              <w:t xml:space="preserve"> 2015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rFonts w:hint="eastAsia"/>
                <w:color w:val="000000" w:themeColor="text1"/>
              </w:rPr>
              <w:t>N</w:t>
            </w:r>
            <w:r w:rsidRPr="00282485">
              <w:rPr>
                <w:color w:val="000000" w:themeColor="text1"/>
              </w:rPr>
              <w:t>OS SCORES: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jc w:val="left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>Selection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Adequate case definition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An independent validation had a positive predictive rate of 92%;</w:t>
            </w:r>
          </w:p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 more specific outcome definition by combining with surgical procedures;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Representativeness of cases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Representative case</w:t>
            </w:r>
            <w:r w:rsidRPr="00282485">
              <w:rPr>
                <w:rFonts w:hint="eastAsia"/>
                <w:color w:val="000000" w:themeColor="text1"/>
              </w:rPr>
              <w:t>s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Selection of controls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Population-based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Definition of controls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One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hundred controls were selected for each case, matched for 5-year age class, sex, and the index date of case diagnosis.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>Comparability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Comparability of controls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Study controlled for all 96 covariates by using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conditional logistic regression analysis.</w:t>
            </w:r>
          </w:p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 propensity score for adjustment and matching due to conventional multivariate analysis.</w:t>
            </w:r>
          </w:p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rFonts w:hint="eastAsia"/>
                <w:color w:val="000000" w:themeColor="text1"/>
              </w:rPr>
              <w:t>C</w:t>
            </w:r>
            <w:r w:rsidRPr="00282485">
              <w:rPr>
                <w:color w:val="000000" w:themeColor="text1"/>
              </w:rPr>
              <w:t>ases have a higher burden of cardiovascular diseases, higher Charlson index, and greater use of cardiovascular medication than controls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>Exposure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Ascertainment of exposure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Records of patients having a fluoroquinolone prescription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Same method for ascertainment</w:t>
            </w:r>
          </w:p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of cases and controls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spacing w:line="360" w:lineRule="auto"/>
              <w:jc w:val="center"/>
              <w:rPr>
                <w:color w:val="000000" w:themeColor="text1"/>
              </w:rPr>
            </w:pPr>
            <w:r w:rsidRPr="00282485">
              <w:rPr>
                <w:rFonts w:hint="eastAsia"/>
                <w:color w:val="000000" w:themeColor="text1"/>
              </w:rPr>
              <w:t>Y</w:t>
            </w:r>
            <w:r w:rsidRPr="00282485">
              <w:rPr>
                <w:color w:val="000000" w:themeColor="text1"/>
              </w:rPr>
              <w:t>ES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Nonresponse rate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Non</w:t>
            </w:r>
            <w:r w:rsidR="00AE1ED8" w:rsidRPr="00282485">
              <w:rPr>
                <w:color w:val="000000" w:themeColor="text1"/>
              </w:rPr>
              <w:t>-</w:t>
            </w:r>
            <w:r w:rsidRPr="00282485">
              <w:rPr>
                <w:color w:val="000000" w:themeColor="text1"/>
              </w:rPr>
              <w:t>respondents described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  <w:r w:rsidRPr="00282485">
              <w:rPr>
                <w:color w:val="000000" w:themeColor="text1"/>
                <w:szCs w:val="21"/>
              </w:rPr>
              <w:t>Daneman et al.2015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rFonts w:hint="eastAsia"/>
                <w:color w:val="000000" w:themeColor="text1"/>
              </w:rPr>
              <w:t>N</w:t>
            </w:r>
            <w:r w:rsidRPr="00282485">
              <w:rPr>
                <w:color w:val="000000" w:themeColor="text1"/>
              </w:rPr>
              <w:t>OS SCORE: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b/>
                <w:bCs/>
                <w:color w:val="000000" w:themeColor="text1"/>
                <w:szCs w:val="21"/>
              </w:rPr>
            </w:pPr>
            <w:bookmarkStart w:id="0" w:name="_Hlk11963650"/>
            <w:r w:rsidRPr="00282485">
              <w:rPr>
                <w:rFonts w:hint="eastAsia"/>
                <w:b/>
                <w:bCs/>
                <w:color w:val="000000" w:themeColor="text1"/>
                <w:szCs w:val="21"/>
              </w:rPr>
              <w:t xml:space="preserve"> </w:t>
            </w: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>Selection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Representativeness of the exposed cohort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Truly representative of adults 65 years and older; drawn from a population-based Ontario Registered Persons Database.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Representativeness of the nonexposed cohort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 xml:space="preserve">Drawn from the same database 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</w:t>
            </w:r>
            <w:r w:rsidRPr="00282485">
              <w:rPr>
                <w:rFonts w:hint="eastAsia"/>
                <w:color w:val="000000" w:themeColor="text1"/>
              </w:rPr>
              <w:t>scertainment</w:t>
            </w:r>
            <w:r w:rsidRPr="00282485">
              <w:rPr>
                <w:color w:val="000000" w:themeColor="text1"/>
              </w:rPr>
              <w:t xml:space="preserve"> </w:t>
            </w:r>
            <w:r w:rsidRPr="00282485">
              <w:rPr>
                <w:rFonts w:hint="eastAsia"/>
                <w:color w:val="000000" w:themeColor="text1"/>
              </w:rPr>
              <w:t>of</w:t>
            </w:r>
            <w:r w:rsidRPr="00282485">
              <w:rPr>
                <w:color w:val="000000" w:themeColor="text1"/>
              </w:rPr>
              <w:t xml:space="preserve"> exposure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Records of fluoroquinolone prescriptions for individuals in database.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Outcome of interest was not present at the beginning of study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 xml:space="preserve">Interest outcomes were identified at inception of this study 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b/>
                <w:bCs/>
                <w:color w:val="000000" w:themeColor="text1"/>
                <w:szCs w:val="21"/>
              </w:rPr>
            </w:pP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>Comparability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Comparability of cohorts because of the design or analysis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Study controls for negative tracer and positive tracer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 xml:space="preserve">Outcome 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rFonts w:hint="eastAsia"/>
                <w:color w:val="000000" w:themeColor="text1"/>
              </w:rPr>
              <w:t>A</w:t>
            </w:r>
            <w:r w:rsidRPr="00282485">
              <w:rPr>
                <w:color w:val="000000" w:themeColor="text1"/>
              </w:rPr>
              <w:t>ssessment of outcome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International Classification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of Diseases 9th and 10th diagnoses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Follow-up long enough for outcomes to occur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minimum of 2 years and a maximum of 17 years follow-up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Adequacy of follow up of cohorts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Complete</w:t>
            </w:r>
          </w:p>
        </w:tc>
      </w:tr>
      <w:bookmarkEnd w:id="0"/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  <w:r w:rsidRPr="00282485">
              <w:rPr>
                <w:color w:val="000000" w:themeColor="text1"/>
                <w:szCs w:val="21"/>
              </w:rPr>
              <w:t>Pasternak et al.2018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rFonts w:hint="eastAsia"/>
                <w:color w:val="000000" w:themeColor="text1"/>
              </w:rPr>
              <w:t>N</w:t>
            </w:r>
            <w:r w:rsidRPr="00282485">
              <w:rPr>
                <w:color w:val="000000" w:themeColor="text1"/>
              </w:rPr>
              <w:t>OS SCORE: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  <w:r w:rsidRPr="00282485">
              <w:rPr>
                <w:rFonts w:hint="eastAsia"/>
                <w:b/>
                <w:bCs/>
                <w:color w:val="000000" w:themeColor="text1"/>
                <w:szCs w:val="21"/>
              </w:rPr>
              <w:t xml:space="preserve"> </w:t>
            </w: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>Selection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Representativeness of the exposed cohort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True representativeness; all adults in Sweden who use fluoroquinolones or amoxicillin during the study and who were aged 50 years or older in database (nationwide data from Swedish registers).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Representativeness of the nonexposed cohort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Drawn from the same database.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</w:t>
            </w:r>
            <w:r w:rsidRPr="00282485">
              <w:rPr>
                <w:rFonts w:hint="eastAsia"/>
                <w:color w:val="000000" w:themeColor="text1"/>
              </w:rPr>
              <w:t>scertainment</w:t>
            </w:r>
            <w:r w:rsidRPr="00282485">
              <w:rPr>
                <w:color w:val="000000" w:themeColor="text1"/>
              </w:rPr>
              <w:t xml:space="preserve"> </w:t>
            </w:r>
            <w:r w:rsidRPr="00282485">
              <w:rPr>
                <w:rFonts w:hint="eastAsia"/>
                <w:color w:val="000000" w:themeColor="text1"/>
              </w:rPr>
              <w:t>of</w:t>
            </w:r>
            <w:r w:rsidRPr="00282485">
              <w:rPr>
                <w:color w:val="000000" w:themeColor="text1"/>
              </w:rPr>
              <w:t xml:space="preserve"> exposure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first diagnosis of aortic aneurysm or dissection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(admission to hospital or emergency department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for aortic aneurysm or dissection, or death due to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aortic aneurysm or dissection) associated with oral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fluoroquinolone use.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Outcome of interest was not present at the beginning of study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Interest outcomes were identified at the inception of this study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>Comparability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Comparability of cohorts because of the design or analysis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Study controls for potential confounding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from differences in baseline health status identified with propensity score matching.</w:t>
            </w:r>
          </w:p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Propensity scores using to control for potential confounders, treatment episodes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of fluoroquinolone and amoxicillin use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 xml:space="preserve">Outcome 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rFonts w:hint="eastAsia"/>
                <w:color w:val="000000" w:themeColor="text1"/>
              </w:rPr>
              <w:t>A</w:t>
            </w:r>
            <w:r w:rsidRPr="00282485">
              <w:rPr>
                <w:color w:val="000000" w:themeColor="text1"/>
              </w:rPr>
              <w:t>ssessment of outcome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 xml:space="preserve">Diagnoses according to ICD-10 (International Classification of Diseases, 10th </w:t>
            </w:r>
          </w:p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revision) and data for surgical procedures.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Follow-up long enough for outcomes to occur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rFonts w:hint="eastAsia"/>
                <w:color w:val="000000" w:themeColor="text1"/>
              </w:rPr>
              <w:t>1</w:t>
            </w:r>
            <w:r w:rsidRPr="00282485">
              <w:rPr>
                <w:color w:val="000000" w:themeColor="text1"/>
              </w:rPr>
              <w:t>20-day follow up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Adequacy of follow up of cohorts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Complete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  <w:r w:rsidRPr="00282485">
              <w:rPr>
                <w:color w:val="000000" w:themeColor="text1"/>
                <w:szCs w:val="21"/>
              </w:rPr>
              <w:t>Sommet et al.2018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rFonts w:hint="eastAsia"/>
                <w:color w:val="000000" w:themeColor="text1"/>
              </w:rPr>
              <w:t>N</w:t>
            </w:r>
            <w:r w:rsidRPr="00282485">
              <w:rPr>
                <w:color w:val="000000" w:themeColor="text1"/>
              </w:rPr>
              <w:t>OS SCORE: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>Selection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Adequate case definition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Cases were ICSRs (the World Health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Organization Global Individual Case Safety Reports) containing the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term “aortic aneurysms and dissections” according to the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MedDRA dictionary.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Representativeness of cases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Clearly representative series of cases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Selection of controls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Population-based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Definition of controls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 xml:space="preserve">All others except those with aortic aneurysms and dissections in the same database 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>Comparability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Comparability of controls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Adjusted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for age, sex, year of report, continent of report, notifier type,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and number of drugs prescribed; analyzed by multivariable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logistic regression.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>Exposure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Ascertainment of exposure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Fluoroquinolones and amoxicillin use recorded in national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pharmacovigilance systems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Same method for ascertainment</w:t>
            </w:r>
          </w:p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of cases and controls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jc w:val="center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YES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Nonresponse rate</w:t>
            </w:r>
          </w:p>
        </w:tc>
        <w:tc>
          <w:tcPr>
            <w:tcW w:w="8283" w:type="dxa"/>
          </w:tcPr>
          <w:p w:rsidR="002B513E" w:rsidRPr="00282485" w:rsidRDefault="0097030F" w:rsidP="0081173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Non-</w:t>
            </w:r>
            <w:bookmarkStart w:id="1" w:name="_GoBack"/>
            <w:bookmarkEnd w:id="1"/>
            <w:r w:rsidR="002B513E" w:rsidRPr="00282485">
              <w:rPr>
                <w:color w:val="000000" w:themeColor="text1"/>
              </w:rPr>
              <w:t>respondents described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  <w:r w:rsidRPr="00282485">
              <w:rPr>
                <w:rFonts w:hint="eastAsia"/>
                <w:color w:val="000000" w:themeColor="text1"/>
                <w:szCs w:val="21"/>
              </w:rPr>
              <w:t>L</w:t>
            </w:r>
            <w:r w:rsidRPr="00282485">
              <w:rPr>
                <w:color w:val="000000" w:themeColor="text1"/>
                <w:szCs w:val="21"/>
              </w:rPr>
              <w:t>ee et al.2018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rFonts w:hint="eastAsia"/>
                <w:color w:val="000000" w:themeColor="text1"/>
              </w:rPr>
              <w:t>N</w:t>
            </w:r>
            <w:r w:rsidRPr="00282485">
              <w:rPr>
                <w:color w:val="000000" w:themeColor="text1"/>
              </w:rPr>
              <w:t>OS SCORE: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  <w:r w:rsidRPr="00282485">
              <w:rPr>
                <w:rFonts w:eastAsiaTheme="minorHAnsi"/>
                <w:color w:val="000000" w:themeColor="text1"/>
              </w:rPr>
              <w:t>★</w:t>
            </w:r>
            <w:r w:rsidRPr="00282485">
              <w:rPr>
                <w:rFonts w:asciiTheme="minorEastAsia" w:hAnsiTheme="minorEastAsia" w:hint="eastAsia"/>
                <w:color w:val="000000" w:themeColor="text1"/>
              </w:rPr>
              <w:t>★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>Selection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Adequate case definition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Cases were required to have International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Classification of Diseases (ICD-9-CM) codes for</w:t>
            </w:r>
          </w:p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AA or AD, plus diagnostic evidence obtained by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advanced imaging studies such as angiography,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transesophageal or transthoracic echocardiography,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thoracic or abdominal computed tomography, or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magnetic resonance imaging</w:t>
            </w:r>
            <w:r w:rsidR="00AE1ED8" w:rsidRPr="00282485">
              <w:rPr>
                <w:color w:val="000000" w:themeColor="text1"/>
              </w:rPr>
              <w:t>.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Representativeness of cases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Representative cases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Selection of controls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Population based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Definition of controls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Self-controlled method based on case-crossover design instead of selecting controls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from an external population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>Comparability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Comparability of controls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Self-controlled method reduces the possibility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of within-person time-invariant confounding,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and avoids control selection biases.</w:t>
            </w:r>
          </w:p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Case-time-control design adjusts for the exposure-outcome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association derived from case-crossover analyses.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  <w:r w:rsidRPr="00282485">
              <w:rPr>
                <w:b/>
                <w:bCs/>
                <w:color w:val="000000" w:themeColor="text1"/>
                <w:sz w:val="28"/>
                <w:szCs w:val="28"/>
              </w:rPr>
              <w:t>Exposure</w:t>
            </w: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Ascertainment of exposure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Exposure to fluoroquinolone was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identified by a reimbursement code of oral fluoroquinolones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with a prescription length of 3 days</w:t>
            </w:r>
            <w:r w:rsidRPr="00282485">
              <w:rPr>
                <w:rFonts w:hint="eastAsia"/>
                <w:color w:val="000000" w:themeColor="text1"/>
              </w:rPr>
              <w:t xml:space="preserve"> </w:t>
            </w:r>
            <w:r w:rsidRPr="00282485">
              <w:rPr>
                <w:color w:val="000000" w:themeColor="text1"/>
              </w:rPr>
              <w:t>or more.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Same method for ascertainment</w:t>
            </w:r>
          </w:p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of cases and controls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jc w:val="center"/>
              <w:rPr>
                <w:color w:val="000000" w:themeColor="text1"/>
              </w:rPr>
            </w:pPr>
            <w:r w:rsidRPr="00282485">
              <w:rPr>
                <w:rFonts w:hint="eastAsia"/>
                <w:color w:val="000000" w:themeColor="text1"/>
              </w:rPr>
              <w:t>Y</w:t>
            </w:r>
            <w:r w:rsidRPr="00282485">
              <w:rPr>
                <w:color w:val="000000" w:themeColor="text1"/>
              </w:rPr>
              <w:t>ES</w:t>
            </w:r>
          </w:p>
        </w:tc>
      </w:tr>
      <w:tr w:rsidR="00282485" w:rsidRPr="00282485" w:rsidTr="00811739">
        <w:tc>
          <w:tcPr>
            <w:tcW w:w="2263" w:type="dxa"/>
          </w:tcPr>
          <w:p w:rsidR="002B513E" w:rsidRPr="00282485" w:rsidRDefault="002B513E" w:rsidP="0081173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2B513E" w:rsidRPr="00282485" w:rsidRDefault="002B513E" w:rsidP="00811739">
            <w:pPr>
              <w:jc w:val="left"/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Nonresponse rate</w:t>
            </w:r>
          </w:p>
        </w:tc>
        <w:tc>
          <w:tcPr>
            <w:tcW w:w="8283" w:type="dxa"/>
          </w:tcPr>
          <w:p w:rsidR="002B513E" w:rsidRPr="00282485" w:rsidRDefault="002B513E" w:rsidP="00811739">
            <w:pPr>
              <w:rPr>
                <w:color w:val="000000" w:themeColor="text1"/>
              </w:rPr>
            </w:pPr>
            <w:r w:rsidRPr="00282485">
              <w:rPr>
                <w:color w:val="000000" w:themeColor="text1"/>
              </w:rPr>
              <w:t>Non</w:t>
            </w:r>
            <w:r w:rsidR="00AE1ED8" w:rsidRPr="00282485">
              <w:rPr>
                <w:color w:val="000000" w:themeColor="text1"/>
              </w:rPr>
              <w:t>-</w:t>
            </w:r>
            <w:r w:rsidRPr="00282485">
              <w:rPr>
                <w:color w:val="000000" w:themeColor="text1"/>
              </w:rPr>
              <w:t>respondents described</w:t>
            </w:r>
          </w:p>
        </w:tc>
      </w:tr>
    </w:tbl>
    <w:p w:rsidR="006F37AF" w:rsidRPr="002B513E" w:rsidRDefault="006F37AF"/>
    <w:sectPr w:rsidR="006F37AF" w:rsidRPr="002B513E" w:rsidSect="002B513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51D2" w:rsidRDefault="006151D2" w:rsidP="00AE1ED8">
      <w:r>
        <w:separator/>
      </w:r>
    </w:p>
  </w:endnote>
  <w:endnote w:type="continuationSeparator" w:id="0">
    <w:p w:rsidR="006151D2" w:rsidRDefault="006151D2" w:rsidP="00AE1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51D2" w:rsidRDefault="006151D2" w:rsidP="00AE1ED8">
      <w:r>
        <w:separator/>
      </w:r>
    </w:p>
  </w:footnote>
  <w:footnote w:type="continuationSeparator" w:id="0">
    <w:p w:rsidR="006151D2" w:rsidRDefault="006151D2" w:rsidP="00AE1E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5FF"/>
    <w:rsid w:val="00282485"/>
    <w:rsid w:val="002B513E"/>
    <w:rsid w:val="004A25FF"/>
    <w:rsid w:val="005E7101"/>
    <w:rsid w:val="006151D2"/>
    <w:rsid w:val="006F37AF"/>
    <w:rsid w:val="0097030F"/>
    <w:rsid w:val="00AD60F2"/>
    <w:rsid w:val="00AE1ED8"/>
    <w:rsid w:val="00CC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A81609"/>
  <w15:chartTrackingRefBased/>
  <w15:docId w15:val="{402B3597-6500-4DDD-BE29-DBE9C946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2B513E"/>
    <w:rPr>
      <w:rFonts w:asciiTheme="majorHAnsi" w:eastAsia="黑体" w:hAnsiTheme="majorHAnsi" w:cstheme="majorBidi"/>
      <w:sz w:val="20"/>
      <w:szCs w:val="20"/>
    </w:rPr>
  </w:style>
  <w:style w:type="table" w:styleId="a4">
    <w:name w:val="Table Grid"/>
    <w:basedOn w:val="a1"/>
    <w:uiPriority w:val="39"/>
    <w:rsid w:val="002B51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E1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E1ED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E1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E1E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816</Words>
  <Characters>4657</Characters>
  <Application>Microsoft Office Word</Application>
  <DocSecurity>0</DocSecurity>
  <Lines>38</Lines>
  <Paragraphs>10</Paragraphs>
  <ScaleCrop>false</ScaleCrop>
  <Company/>
  <LinksUpToDate>false</LinksUpToDate>
  <CharactersWithSpaces>5463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 Kris</dc:creator>
  <cp:keywords/>
  <dc:description/>
  <cp:lastModifiedBy>Tai Kris</cp:lastModifiedBy>
  <cp:revision>6</cp:revision>
  <dcterms:created xsi:type="dcterms:W3CDTF">2020-01-05T14:52:00Z</dcterms:created>
  <dcterms:modified xsi:type="dcterms:W3CDTF">2020-01-17T12:48:00Z</dcterms:modified>
</cp:coreProperties>
</file>